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1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7" behindDoc="1" locked="0" layoutInCell="1" allowOverlap="1">
                <wp:simplePos x="0" y="0"/>
                <wp:positionH relativeFrom="column">
                  <wp:posOffset>432310</wp:posOffset>
                </wp:positionH>
                <wp:positionV relativeFrom="paragraph">
                  <wp:posOffset>80325</wp:posOffset>
                </wp:positionV>
                <wp:extent cx="6858000" cy="9470634"/>
                <wp:effectExtent l="28575" t="28575" r="28575" b="285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858000" cy="94706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0" w:right="0" w:firstLine="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047;o:allowoverlap:true;o:allowincell:true;mso-position-horizontal-relative:text;margin-left:34.04pt;mso-position-horizontal:absolute;mso-position-vertical-relative:text;margin-top:6.32pt;mso-position-vertical:absolute;width:540.00pt;height:745.72pt;mso-wrap-distance-left:9.07pt;mso-wrap-distance-top:0.00pt;mso-wrap-distance-right:9.07pt;mso-wrap-distance-bottom:0.00pt;rotation:0;v-text-anchor:middle;visibility:visible;" fillcolor="#5B9BD5" strokecolor="#002060" strokeweight="4.50pt">
                <v:fill opacity="100f"/>
                <v:stroke dashstyle="solid"/>
                <v:textbox inset="0,0,0,0">
                  <w:txbxContent>
                    <w:p>
                      <w:pPr>
                        <w:ind w:left="0" w:right="0" w:firstLine="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80325</wp:posOffset>
                </wp:positionV>
                <wp:extent cx="6858000" cy="864000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858000" cy="8640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21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empora LGC Uni" w:hAnsi="Tempora LGC Uni" w:eastAsia="Tempora LGC Uni" w:cs="Tempora LGC Uni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В Удмуртии открыты пункты БЕСПЛАТНОГО проката предметов первой необходимости для детей до 3 лет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upright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14336;o:allowoverlap:true;o:allowincell:true;mso-position-horizontal-relative:text;margin-left:34.05pt;mso-position-horizontal:absolute;mso-position-vertical-relative:text;margin-top:6.32pt;mso-position-vertical:absolute;width:540.00pt;height:68.03pt;mso-wrap-distance-left:9.07pt;mso-wrap-distance-top:0.00pt;mso-wrap-distance-right:9.07pt;mso-wrap-distance-bottom:0.00pt;rotation:0;v-text-anchor:middle;visibility:visible;" fillcolor="#002060" stroked="f" strokeweight="1.00pt">
                <v:fill opacity="-13521f"/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empora LGC Uni" w:hAnsi="Tempora LGC Uni" w:eastAsia="Tempora LGC Uni" w:cs="Tempora LGC Uni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В Удмуртии открыты пункты БЕСПЛАТНОГО проката предметов первой необходимости для детей до 3 лет</w:t>
                      </w:r>
                      <w:r>
                        <w:rPr>
                          <w:rFonts w:ascii="Tempora LGC Uni" w:hAnsi="Tempora LGC Uni" w:eastAsia="Tempora LGC Uni" w:cs="Tempora LGC Uni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500470</wp:posOffset>
                </wp:positionH>
                <wp:positionV relativeFrom="paragraph">
                  <wp:posOffset>217502</wp:posOffset>
                </wp:positionV>
                <wp:extent cx="6721929" cy="428819"/>
                <wp:effectExtent l="3175" t="3175" r="3175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721929" cy="428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spacing w:before="0" w:beforeAutospacing="0" w:after="0" w:afterAutospacing="0" w:line="240" w:lineRule="auto"/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Перечень предметов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61440;o:allowoverlap:true;o:allowincell:true;mso-position-horizontal-relative:text;margin-left:39.41pt;mso-position-horizontal:absolute;mso-position-vertical-relative:text;margin-top:17.13pt;mso-position-vertical:absolute;width:529.29pt;height:33.77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jc w:val="both"/>
                        <w:spacing w:before="0" w:beforeAutospacing="0" w:after="0" w:afterAutospacing="0" w:line="240" w:lineRule="auto"/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Перечень предметов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3943077</wp:posOffset>
                </wp:positionH>
                <wp:positionV relativeFrom="paragraph">
                  <wp:posOffset>237973</wp:posOffset>
                </wp:positionV>
                <wp:extent cx="3279322" cy="2001199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279321" cy="2001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272"/>
                              <w:numPr>
                                <w:ilvl w:val="0"/>
                                <w:numId w:val="219"/>
                              </w:numPr>
                              <w:ind w:left="0" w:right="0" w:firstLine="0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Санки детские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8"/>
                              </w:numPr>
                              <w:ind w:left="142" w:right="0" w:hanging="142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Пеленальный столик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8"/>
                              </w:numPr>
                              <w:ind w:left="142" w:right="0" w:hanging="142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Ванна для купания новорожденного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8"/>
                              </w:numPr>
                              <w:ind w:left="142" w:right="0" w:hanging="142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Детский манеж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8"/>
                              </w:numPr>
                              <w:ind w:left="142" w:right="0" w:hanging="142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Ходунки детские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8"/>
                              </w:numPr>
                              <w:ind w:left="142" w:right="0" w:hanging="142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Шезлонг для новорожденного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8"/>
                              </w:numPr>
                              <w:ind w:left="142" w:right="0" w:hanging="142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Весы детские электронные для взвешивания новорожденного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8"/>
                              </w:numPr>
                              <w:ind w:left="142" w:right="0" w:hanging="142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61440;o:allowoverlap:true;o:allowincell:true;mso-position-horizontal-relative:text;margin-left:310.48pt;mso-position-horizontal:absolute;mso-position-vertical-relative:text;margin-top:18.74pt;mso-position-vertical:absolute;width:258.21pt;height:157.57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pStyle w:val="1272"/>
                        <w:numPr>
                          <w:ilvl w:val="0"/>
                          <w:numId w:val="219"/>
                        </w:numPr>
                        <w:ind w:left="0" w:right="0" w:firstLine="0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Санки детские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8"/>
                        </w:numPr>
                        <w:ind w:left="142" w:right="0" w:hanging="142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Пеленальный столик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8"/>
                        </w:numPr>
                        <w:ind w:left="142" w:right="0" w:hanging="142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Ванна для купания новорожденного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8"/>
                        </w:numPr>
                        <w:ind w:left="142" w:right="0" w:hanging="142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Детский манеж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8"/>
                        </w:numPr>
                        <w:ind w:left="142" w:right="0" w:hanging="142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Ходунки детские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8"/>
                        </w:numPr>
                        <w:ind w:left="142" w:right="0" w:hanging="142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Шезлонг для новорожденного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8"/>
                        </w:numPr>
                        <w:ind w:left="142" w:right="0" w:hanging="142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Весы детские электронные для взвешивания новорожденного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8"/>
                        </w:numPr>
                        <w:ind w:left="142" w:right="0" w:hanging="142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579697</wp:posOffset>
                </wp:positionH>
                <wp:positionV relativeFrom="paragraph">
                  <wp:posOffset>171298</wp:posOffset>
                </wp:positionV>
                <wp:extent cx="3279321" cy="2267898"/>
                <wp:effectExtent l="3175" t="3175" r="3175" b="317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3279321" cy="2267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72"/>
                              <w:numPr>
                                <w:ilvl w:val="0"/>
                                <w:numId w:val="47"/>
                              </w:numPr>
                              <w:ind w:left="0" w:right="0" w:firstLine="0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Коляска детская прогулочная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7"/>
                              </w:numPr>
                              <w:ind w:left="0" w:right="0" w:firstLine="0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Коляска детская трость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7"/>
                              </w:numPr>
                              <w:ind w:left="0" w:right="0" w:firstLine="0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Кроватка для новорожденного ребенка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7"/>
                              </w:numPr>
                              <w:ind w:left="0" w:right="0" w:firstLine="0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Автокресло детское с шести месяцев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7"/>
                              </w:numPr>
                              <w:ind w:left="0" w:right="0" w:firstLine="0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Автолюлька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1272"/>
                              <w:numPr>
                                <w:ilvl w:val="0"/>
                                <w:numId w:val="47"/>
                              </w:numPr>
                              <w:ind w:left="0" w:right="0" w:firstLine="0"/>
                              <w:jc w:val="both"/>
                              <w:spacing w:before="0" w:beforeAutospacing="0" w:after="0" w:afterAutospacing="0" w:line="276" w:lineRule="auto"/>
                              <w:tabs>
                                <w:tab w:val="left" w:pos="142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highlight w:val="none"/>
                              </w:rPr>
                              <w:t xml:space="preserve">Детский стул для кормления ребенка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61440;o:allowoverlap:true;o:allowincell:true;mso-position-horizontal-relative:text;margin-left:45.65pt;mso-position-horizontal:absolute;mso-position-vertical-relative:text;margin-top:13.49pt;mso-position-vertical:absolute;width:258.21pt;height:178.57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pStyle w:val="1272"/>
                        <w:numPr>
                          <w:ilvl w:val="0"/>
                          <w:numId w:val="47"/>
                        </w:numPr>
                        <w:ind w:left="0" w:right="0" w:firstLine="0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Коляска детская прогулочная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7"/>
                        </w:numPr>
                        <w:ind w:left="0" w:right="0" w:firstLine="0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Коляска детская трость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7"/>
                        </w:numPr>
                        <w:ind w:left="0" w:right="0" w:firstLine="0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Кроватка для новорожденного ребенка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7"/>
                        </w:numPr>
                        <w:ind w:left="0" w:right="0" w:firstLine="0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Автокресло детское с шести месяцев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7"/>
                        </w:numPr>
                        <w:ind w:left="0" w:right="0" w:firstLine="0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Автолюлька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1272"/>
                        <w:numPr>
                          <w:ilvl w:val="0"/>
                          <w:numId w:val="47"/>
                        </w:numPr>
                        <w:ind w:left="0" w:right="0" w:firstLine="0"/>
                        <w:jc w:val="both"/>
                        <w:spacing w:before="0" w:beforeAutospacing="0" w:after="0" w:afterAutospacing="0" w:line="276" w:lineRule="auto"/>
                        <w:tabs>
                          <w:tab w:val="left" w:pos="142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highlight w:val="none"/>
                        </w:rPr>
                        <w:t xml:space="preserve">Детский стул для кормления ребенка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  <w:t xml:space="preserve">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1562</wp:posOffset>
                </wp:positionV>
                <wp:extent cx="6858000" cy="2217938"/>
                <wp:effectExtent l="3175" t="3175" r="3175" b="317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6858000" cy="2217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</w:rPr>
                              <w:t xml:space="preserve">Молодые, студенческие, многодетные семьи, семьи участников СВО, одинокие родители могут получить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предметы первой необходимости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для ребенк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</w:rPr>
                              <w:t xml:space="preserve">а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с рождения до 3 лет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</w:rPr>
                              <w:t xml:space="preserve">в пункте проката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</w:rPr>
                              <w:t xml:space="preserve">БЕСПЛАТНО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</w:rPr>
                              <w:t xml:space="preserve">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  <w:t xml:space="preserve">УСЛУГА ПРЕДОСТАВЛЯЕТСЯ НЕЗАВИСИМО ОТ УРОВНЯ ДОХОДОВ СЕМЬИ, ПОДТВЕРЖДАЮЩИЕ ДОХОД ДОКУМЕНТЫ НЕ ТРЕБУЮТСЯ.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rPr>
                                <w:rFonts w:ascii="Tempora LGC Uni" w:hAnsi="Tempora LGC Uni" w:cs="Tempora LGC U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cs="Tempora LGC Uni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empora LGC Uni" w:hAnsi="Tempora LGC Uni" w:cs="Tempora LGC Uni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61440;o:allowoverlap:true;o:allowincell:true;mso-position-horizontal-relative:text;margin-left:34.05pt;mso-position-horizontal:absolute;mso-position-vertical-relative:text;margin-top:0.12pt;mso-position-vertical:absolute;width:540.00pt;height:174.64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center"/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</w:rPr>
                        <w:t xml:space="preserve">Молодые, студенческие, многодетные семьи, семьи участников СВО, одинокие родители могут получить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sz w:val="28"/>
                          <w:szCs w:val="28"/>
                        </w:rPr>
                        <w:t xml:space="preserve">предметы первой необходимости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sz w:val="28"/>
                          <w:szCs w:val="28"/>
                        </w:rPr>
                        <w:t xml:space="preserve">для ребенк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</w:rPr>
                        <w:t xml:space="preserve">а 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sz w:val="28"/>
                          <w:szCs w:val="28"/>
                        </w:rPr>
                        <w:br/>
                        <w:t xml:space="preserve">с рождения до 3 лет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</w:rPr>
                        <w:t xml:space="preserve">в пункте проката 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</w:rPr>
                        <w:t xml:space="preserve">БЕСПЛАТНО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</w:rPr>
                        <w:t xml:space="preserve">.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center"/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  <w:t xml:space="preserve">УСЛУГА ПРЕДОСТАВЛЯЕТСЯ НЕЗАВИСИМО ОТ УРОВНЯ ДОХОДОВ СЕМЬИ, ПОДТВЕРЖДАЮЩИЕ ДОХОД ДОКУМЕНТЫ НЕ ТРЕБУЮТСЯ.</w:t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rPr>
                          <w:rFonts w:ascii="Tempora LGC Uni" w:hAnsi="Tempora LGC Uni" w:cs="Tempora LGC Uni"/>
                          <w:sz w:val="28"/>
                          <w:szCs w:val="28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rFonts w:ascii="Tempora LGC Uni" w:hAnsi="Tempora LGC Uni" w:cs="Tempora LGC Uni"/>
                          <w:sz w:val="28"/>
                          <w:szCs w:val="28"/>
                        </w:rPr>
                      </w:r>
                      <w:r>
                        <w:rPr>
                          <w:rFonts w:ascii="Tempora LGC Uni" w:hAnsi="Tempora LGC Uni" w:cs="Tempora LGC Uni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63200" behindDoc="0" locked="0" layoutInCell="1" allowOverlap="1">
                <wp:simplePos x="0" y="0"/>
                <wp:positionH relativeFrom="column">
                  <wp:posOffset>579697</wp:posOffset>
                </wp:positionH>
                <wp:positionV relativeFrom="paragraph">
                  <wp:posOffset>107810</wp:posOffset>
                </wp:positionV>
                <wp:extent cx="6381750" cy="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381747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563200;mso-wrap-distance-left:9.07pt;mso-wrap-distance-top:0.00pt;mso-wrap-distance-right:9.07pt;mso-wrap-distance-bottom:0.00pt;rotation:0;visibility:visible;" from="45.6pt,8.5pt" to="548.1pt,8.5pt" filled="f" strokecolor="#002060" strokeweight="2.25pt">
                <v:stroke dashstyle="solid"/>
              </v:lin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47021</wp:posOffset>
                </wp:positionV>
                <wp:extent cx="4547090" cy="2236136"/>
                <wp:effectExtent l="3175" t="3175" r="3175" b="317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547089" cy="2236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spacing w:after="0" w:afterAutospacing="0" w:line="240" w:lineRule="auto"/>
                              <w:tabs>
                                <w:tab w:val="center" w:pos="2276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Куда обратиться?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both"/>
                              <w:spacing w:after="0" w:afterAutospacing="0" w:line="240" w:lineRule="auto"/>
                              <w:tabs>
                                <w:tab w:val="center" w:pos="2276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both"/>
                              <w:spacing w:after="0" w:afterAutospacing="0" w:line="240" w:lineRule="auto"/>
                              <w:tabs>
                                <w:tab w:val="center" w:pos="2276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Пройди по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QR-коду и н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айди ближайший пункт проката с контактными данными 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both"/>
                              <w:spacing w:after="0" w:afterAutospacing="0" w:line="240" w:lineRule="auto"/>
                              <w:tabs>
                                <w:tab w:val="center" w:pos="2276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both"/>
                              <w:spacing w:after="0" w:afterAutospacing="0" w:line="240" w:lineRule="auto"/>
                              <w:tabs>
                                <w:tab w:val="center" w:pos="2276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Вопросы можно задать по телефону единого контакт-центра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both"/>
                              <w:spacing w:after="0" w:afterAutospacing="0" w:line="240" w:lineRule="auto"/>
                              <w:tabs>
                                <w:tab w:val="center" w:pos="2276" w:leader="none"/>
                              </w:tabs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  <w:t xml:space="preserve">8-800-100-00-01</w:t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empora LGC Uni" w:hAnsi="Tempora LGC Uni" w:eastAsia="Tempora LGC Uni" w:cs="Tempora LGC Uni"/>
                                <w:b w:val="0"/>
                                <w:bCs w:val="0"/>
                                <w:color w:val="000000" w:themeColor="text1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61440;o:allowoverlap:true;o:allowincell:true;mso-position-horizontal-relative:text;margin-left:46.40pt;mso-position-horizontal:absolute;mso-position-vertical-relative:text;margin-top:3.70pt;mso-position-vertical:absolute;width:358.04pt;height:176.07pt;mso-wrap-distance-left:9.07pt;mso-wrap-distance-top:0.00pt;mso-wrap-distance-right:9.07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jc w:val="both"/>
                        <w:spacing w:after="0" w:afterAutospacing="0" w:line="240" w:lineRule="auto"/>
                        <w:tabs>
                          <w:tab w:val="center" w:pos="2276" w:leader="none"/>
                        </w:tabs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Куда обратиться?</w:t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jc w:val="both"/>
                        <w:spacing w:after="0" w:afterAutospacing="0" w:line="240" w:lineRule="auto"/>
                        <w:tabs>
                          <w:tab w:val="center" w:pos="2276" w:leader="none"/>
                        </w:tabs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/>
                          <w:bCs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jc w:val="both"/>
                        <w:spacing w:after="0" w:afterAutospacing="0" w:line="240" w:lineRule="auto"/>
                        <w:tabs>
                          <w:tab w:val="center" w:pos="2276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Пройди по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QR-коду и н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айди ближайший пункт проката с контактными данными 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jc w:val="both"/>
                        <w:spacing w:after="0" w:afterAutospacing="0" w:line="240" w:lineRule="auto"/>
                        <w:tabs>
                          <w:tab w:val="center" w:pos="2276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jc w:val="both"/>
                        <w:spacing w:after="0" w:afterAutospacing="0" w:line="240" w:lineRule="auto"/>
                        <w:tabs>
                          <w:tab w:val="center" w:pos="2276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Вопросы можно задать по телефону единого контакт-центра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  <w:p>
                      <w:pPr>
                        <w:jc w:val="both"/>
                        <w:spacing w:after="0" w:afterAutospacing="0" w:line="240" w:lineRule="auto"/>
                        <w:tabs>
                          <w:tab w:val="center" w:pos="2276" w:leader="none"/>
                        </w:tabs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  <w:t xml:space="preserve">8-800-100-00-01</w:t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empora LGC Uni" w:hAnsi="Tempora LGC Uni" w:eastAsia="Tempora LGC Uni" w:cs="Tempora LGC Uni"/>
                          <w:b w:val="0"/>
                          <w:bCs w:val="0"/>
                          <w:color w:val="000000" w:themeColor="text1"/>
                          <w:sz w:val="36"/>
                          <w:szCs w:val="36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919488" behindDoc="0" locked="0" layoutInCell="1" allowOverlap="1">
                <wp:simplePos x="0" y="0"/>
                <wp:positionH relativeFrom="column">
                  <wp:posOffset>5477838</wp:posOffset>
                </wp:positionH>
                <wp:positionV relativeFrom="paragraph">
                  <wp:posOffset>155039</wp:posOffset>
                </wp:positionV>
                <wp:extent cx="1396626" cy="1396626"/>
                <wp:effectExtent l="0" t="0" r="0" b="0"/>
                <wp:wrapNone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417828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396622" cy="1396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9919488;o:allowoverlap:true;o:allowincell:true;mso-position-horizontal-relative:text;margin-left:431.33pt;mso-position-horizontal:absolute;mso-position-vertical-relative:text;margin-top:12.21pt;mso-position-vertical:absolute;width:109.97pt;height:109.97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567" w:right="425" w:bottom="1134" w:left="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B0606020202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1" w:hanging="360"/>
      </w:pPr>
      <w:rPr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1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1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7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1" w:hanging="360"/>
      </w:pPr>
      <w:rPr>
        <w:rFonts w:hint="default" w:ascii="Wingdings" w:hAnsi="Wingdings" w:eastAsia="Wingdings" w:cs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2" w:hanging="360"/>
      </w:pPr>
      <w:rPr>
        <w:rFonts w:ascii="Tempora LGC Uni" w:hAnsi="Tempora LGC Uni" w:eastAsia="Tempora LGC Uni" w:cs="Tempora LGC Uni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992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992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92">
    <w:name w:val="Heading 1"/>
    <w:basedOn w:val="1268"/>
    <w:next w:val="1268"/>
    <w:link w:val="10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93">
    <w:name w:val="Heading 1 Char"/>
    <w:link w:val="1092"/>
    <w:uiPriority w:val="9"/>
    <w:rPr>
      <w:rFonts w:ascii="Arial" w:hAnsi="Arial" w:eastAsia="Arial" w:cs="Arial"/>
      <w:sz w:val="40"/>
      <w:szCs w:val="40"/>
    </w:rPr>
  </w:style>
  <w:style w:type="paragraph" w:styleId="1094">
    <w:name w:val="Heading 2"/>
    <w:basedOn w:val="1268"/>
    <w:next w:val="1268"/>
    <w:link w:val="10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95">
    <w:name w:val="Heading 2 Char"/>
    <w:link w:val="1094"/>
    <w:uiPriority w:val="9"/>
    <w:rPr>
      <w:rFonts w:ascii="Arial" w:hAnsi="Arial" w:eastAsia="Arial" w:cs="Arial"/>
      <w:sz w:val="34"/>
    </w:rPr>
  </w:style>
  <w:style w:type="paragraph" w:styleId="1096">
    <w:name w:val="Heading 3"/>
    <w:basedOn w:val="1268"/>
    <w:next w:val="1268"/>
    <w:link w:val="10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97">
    <w:name w:val="Heading 3 Char"/>
    <w:link w:val="1096"/>
    <w:uiPriority w:val="9"/>
    <w:rPr>
      <w:rFonts w:ascii="Arial" w:hAnsi="Arial" w:eastAsia="Arial" w:cs="Arial"/>
      <w:sz w:val="30"/>
      <w:szCs w:val="30"/>
    </w:rPr>
  </w:style>
  <w:style w:type="paragraph" w:styleId="1098">
    <w:name w:val="Heading 4"/>
    <w:basedOn w:val="1268"/>
    <w:next w:val="1268"/>
    <w:link w:val="10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99">
    <w:name w:val="Heading 4 Char"/>
    <w:link w:val="1098"/>
    <w:uiPriority w:val="9"/>
    <w:rPr>
      <w:rFonts w:ascii="Arial" w:hAnsi="Arial" w:eastAsia="Arial" w:cs="Arial"/>
      <w:b/>
      <w:bCs/>
      <w:sz w:val="26"/>
      <w:szCs w:val="26"/>
    </w:rPr>
  </w:style>
  <w:style w:type="paragraph" w:styleId="1100">
    <w:name w:val="Heading 5"/>
    <w:basedOn w:val="1268"/>
    <w:next w:val="1268"/>
    <w:link w:val="11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01">
    <w:name w:val="Heading 5 Char"/>
    <w:link w:val="1100"/>
    <w:uiPriority w:val="9"/>
    <w:rPr>
      <w:rFonts w:ascii="Arial" w:hAnsi="Arial" w:eastAsia="Arial" w:cs="Arial"/>
      <w:b/>
      <w:bCs/>
      <w:sz w:val="24"/>
      <w:szCs w:val="24"/>
    </w:rPr>
  </w:style>
  <w:style w:type="paragraph" w:styleId="1102">
    <w:name w:val="Heading 6"/>
    <w:basedOn w:val="1268"/>
    <w:next w:val="1268"/>
    <w:link w:val="11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03">
    <w:name w:val="Heading 6 Char"/>
    <w:link w:val="1102"/>
    <w:uiPriority w:val="9"/>
    <w:rPr>
      <w:rFonts w:ascii="Arial" w:hAnsi="Arial" w:eastAsia="Arial" w:cs="Arial"/>
      <w:b/>
      <w:bCs/>
      <w:sz w:val="22"/>
      <w:szCs w:val="22"/>
    </w:rPr>
  </w:style>
  <w:style w:type="paragraph" w:styleId="1104">
    <w:name w:val="Heading 7"/>
    <w:basedOn w:val="1268"/>
    <w:next w:val="1268"/>
    <w:link w:val="11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05">
    <w:name w:val="Heading 7 Char"/>
    <w:link w:val="11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06">
    <w:name w:val="Heading 8"/>
    <w:basedOn w:val="1268"/>
    <w:next w:val="1268"/>
    <w:link w:val="11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07">
    <w:name w:val="Heading 8 Char"/>
    <w:link w:val="1106"/>
    <w:uiPriority w:val="9"/>
    <w:rPr>
      <w:rFonts w:ascii="Arial" w:hAnsi="Arial" w:eastAsia="Arial" w:cs="Arial"/>
      <w:i/>
      <w:iCs/>
      <w:sz w:val="22"/>
      <w:szCs w:val="22"/>
    </w:rPr>
  </w:style>
  <w:style w:type="paragraph" w:styleId="1108">
    <w:name w:val="Heading 9"/>
    <w:basedOn w:val="1268"/>
    <w:next w:val="1268"/>
    <w:link w:val="11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9">
    <w:name w:val="Heading 9 Char"/>
    <w:link w:val="1108"/>
    <w:uiPriority w:val="9"/>
    <w:rPr>
      <w:rFonts w:ascii="Arial" w:hAnsi="Arial" w:eastAsia="Arial" w:cs="Arial"/>
      <w:i/>
      <w:iCs/>
      <w:sz w:val="21"/>
      <w:szCs w:val="21"/>
    </w:rPr>
  </w:style>
  <w:style w:type="paragraph" w:styleId="1110">
    <w:name w:val="Title"/>
    <w:basedOn w:val="1268"/>
    <w:next w:val="1268"/>
    <w:link w:val="11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11">
    <w:name w:val="Title Char"/>
    <w:link w:val="1110"/>
    <w:uiPriority w:val="10"/>
    <w:rPr>
      <w:sz w:val="48"/>
      <w:szCs w:val="48"/>
    </w:rPr>
  </w:style>
  <w:style w:type="paragraph" w:styleId="1112">
    <w:name w:val="Subtitle"/>
    <w:basedOn w:val="1268"/>
    <w:next w:val="1268"/>
    <w:link w:val="1113"/>
    <w:uiPriority w:val="11"/>
    <w:qFormat/>
    <w:pPr>
      <w:spacing w:before="200" w:after="200"/>
    </w:pPr>
    <w:rPr>
      <w:sz w:val="24"/>
      <w:szCs w:val="24"/>
    </w:rPr>
  </w:style>
  <w:style w:type="character" w:styleId="1113">
    <w:name w:val="Subtitle Char"/>
    <w:link w:val="1112"/>
    <w:uiPriority w:val="11"/>
    <w:rPr>
      <w:sz w:val="24"/>
      <w:szCs w:val="24"/>
    </w:rPr>
  </w:style>
  <w:style w:type="paragraph" w:styleId="1114">
    <w:name w:val="Quote"/>
    <w:basedOn w:val="1268"/>
    <w:next w:val="1268"/>
    <w:link w:val="1115"/>
    <w:uiPriority w:val="29"/>
    <w:qFormat/>
    <w:pPr>
      <w:ind w:left="720" w:right="720"/>
    </w:pPr>
    <w:rPr>
      <w:i/>
    </w:rPr>
  </w:style>
  <w:style w:type="character" w:styleId="1115">
    <w:name w:val="Quote Char"/>
    <w:link w:val="1114"/>
    <w:uiPriority w:val="29"/>
    <w:rPr>
      <w:i/>
    </w:rPr>
  </w:style>
  <w:style w:type="paragraph" w:styleId="1116">
    <w:name w:val="Intense Quote"/>
    <w:basedOn w:val="1268"/>
    <w:next w:val="1268"/>
    <w:link w:val="11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17">
    <w:name w:val="Intense Quote Char"/>
    <w:link w:val="1116"/>
    <w:uiPriority w:val="30"/>
    <w:rPr>
      <w:i/>
    </w:rPr>
  </w:style>
  <w:style w:type="paragraph" w:styleId="1118">
    <w:name w:val="Header"/>
    <w:basedOn w:val="1268"/>
    <w:link w:val="11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19">
    <w:name w:val="Header Char"/>
    <w:link w:val="1118"/>
    <w:uiPriority w:val="99"/>
  </w:style>
  <w:style w:type="paragraph" w:styleId="1120">
    <w:name w:val="Footer"/>
    <w:basedOn w:val="1268"/>
    <w:link w:val="11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21">
    <w:name w:val="Footer Char"/>
    <w:link w:val="1120"/>
    <w:uiPriority w:val="99"/>
  </w:style>
  <w:style w:type="paragraph" w:styleId="1122">
    <w:name w:val="Caption"/>
    <w:basedOn w:val="1268"/>
    <w:next w:val="1268"/>
    <w:link w:val="11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23">
    <w:name w:val="Caption Char"/>
    <w:link w:val="1122"/>
    <w:uiPriority w:val="35"/>
    <w:rPr>
      <w:b/>
      <w:bCs/>
      <w:color w:val="4f81bd" w:themeColor="accent1"/>
      <w:sz w:val="18"/>
      <w:szCs w:val="18"/>
    </w:rPr>
  </w:style>
  <w:style w:type="table" w:styleId="1124">
    <w:name w:val="Table Grid"/>
    <w:basedOn w:val="12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5">
    <w:name w:val="Table Grid Light"/>
    <w:basedOn w:val="1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6">
    <w:name w:val="Plain Table 1"/>
    <w:basedOn w:val="1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7">
    <w:name w:val="Plain Table 2"/>
    <w:basedOn w:val="12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28">
    <w:name w:val="Plain Table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29">
    <w:name w:val="Plain Table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Plain Table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31">
    <w:name w:val="Grid Table 1 Light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Grid Table 1 Light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Grid Table 1 Light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Grid Table 1 Light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Grid Table 1 Light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Grid Table 1 Light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Grid Table 1 Light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Grid Table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2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2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2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2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Grid Table 2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2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3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3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3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Grid Table 3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Grid Table 3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Grid Table 3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Grid Table 4"/>
    <w:basedOn w:val="1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53">
    <w:name w:val="Grid Table 4 - Accent 1"/>
    <w:basedOn w:val="1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54">
    <w:name w:val="Grid Table 4 - Accent 2"/>
    <w:basedOn w:val="1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55">
    <w:name w:val="Grid Table 4 - Accent 3"/>
    <w:basedOn w:val="1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56">
    <w:name w:val="Grid Table 4 - Accent 4"/>
    <w:basedOn w:val="1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57">
    <w:name w:val="Grid Table 4 - Accent 5"/>
    <w:basedOn w:val="1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58">
    <w:name w:val="Grid Table 4 - Accent 6"/>
    <w:basedOn w:val="1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59">
    <w:name w:val="Grid Table 5 Dark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60">
    <w:name w:val="Grid Table 5 Dark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161">
    <w:name w:val="Grid Table 5 Dark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62">
    <w:name w:val="Grid Table 5 Dark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63">
    <w:name w:val="Grid Table 5 Dark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64">
    <w:name w:val="Grid Table 5 Dark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165">
    <w:name w:val="Grid Table 5 Dark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66">
    <w:name w:val="Grid Table 6 Colorful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67">
    <w:name w:val="Grid Table 6 Colorful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68">
    <w:name w:val="Grid Table 6 Colorful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69">
    <w:name w:val="Grid Table 6 Colorful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70">
    <w:name w:val="Grid Table 6 Colorful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71">
    <w:name w:val="Grid Table 6 Colorful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2">
    <w:name w:val="Grid Table 6 Colorful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3">
    <w:name w:val="Grid Table 7 Colorful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Grid Table 7 Colorful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Grid Table 7 Colorful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Grid Table 7 Colorful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Grid Table 7 Colorful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8">
    <w:name w:val="Grid Table 7 Colorful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Grid Table 7 Colorful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List Table 1 Light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List Table 1 Light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List Table 1 Light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List Table 1 Light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List Table 1 Light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List Table 1 Light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6">
    <w:name w:val="List Table 1 Light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List Table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8">
    <w:name w:val="List Table 2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89">
    <w:name w:val="List Table 2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90">
    <w:name w:val="List Table 2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91">
    <w:name w:val="List Table 2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92">
    <w:name w:val="List Table 2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93">
    <w:name w:val="List Table 2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4">
    <w:name w:val="List Table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3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3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3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3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9">
    <w:name w:val="List Table 3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3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4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4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4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4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4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7">
    <w:name w:val="List Table 4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8">
    <w:name w:val="List Table 5 Dark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9">
    <w:name w:val="List Table 5 Dark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0">
    <w:name w:val="List Table 5 Dark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1">
    <w:name w:val="List Table 5 Dark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2">
    <w:name w:val="List Table 5 Dark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3">
    <w:name w:val="List Table 5 Dark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4">
    <w:name w:val="List Table 5 Dark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5">
    <w:name w:val="List Table 6 Colorful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16">
    <w:name w:val="List Table 6 Colorful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17">
    <w:name w:val="List Table 6 Colorful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8">
    <w:name w:val="List Table 6 Colorful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19">
    <w:name w:val="List Table 6 Colorful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20">
    <w:name w:val="List Table 6 Colorful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21">
    <w:name w:val="List Table 6 Colorful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22">
    <w:name w:val="List Table 7 Colorful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23">
    <w:name w:val="List Table 7 Colorful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24">
    <w:name w:val="List Table 7 Colorful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25">
    <w:name w:val="List Table 7 Colorful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26">
    <w:name w:val="List Table 7 Colorful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27">
    <w:name w:val="List Table 7 Colorful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28">
    <w:name w:val="List Table 7 Colorful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29">
    <w:name w:val="Lined - Accent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0">
    <w:name w:val="Lined - Accent 1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31">
    <w:name w:val="Lined - Accent 2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2">
    <w:name w:val="Lined - Accent 3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33">
    <w:name w:val="Lined - Accent 4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34">
    <w:name w:val="Lined - Accent 5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35">
    <w:name w:val="Lined - Accent 6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36">
    <w:name w:val="Bordered &amp; Lined - Accent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7">
    <w:name w:val="Bordered &amp; Lined - Accent 1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38">
    <w:name w:val="Bordered &amp; Lined - Accent 2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39">
    <w:name w:val="Bordered &amp; Lined - Accent 3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40">
    <w:name w:val="Bordered &amp; Lined - Accent 4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41">
    <w:name w:val="Bordered &amp; Lined - Accent 5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42">
    <w:name w:val="Bordered &amp; Lined - Accent 6"/>
    <w:basedOn w:val="1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43">
    <w:name w:val="Bordered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44">
    <w:name w:val="Bordered - Accent 1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45">
    <w:name w:val="Bordered - Accent 2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46">
    <w:name w:val="Bordered - Accent 3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47">
    <w:name w:val="Bordered - Accent 4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48">
    <w:name w:val="Bordered - Accent 5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49">
    <w:name w:val="Bordered - Accent 6"/>
    <w:basedOn w:val="1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50">
    <w:name w:val="Hyperlink"/>
    <w:uiPriority w:val="99"/>
    <w:unhideWhenUsed/>
    <w:rPr>
      <w:color w:val="0000ff" w:themeColor="hyperlink"/>
      <w:u w:val="single"/>
    </w:rPr>
  </w:style>
  <w:style w:type="paragraph" w:styleId="1251">
    <w:name w:val="footnote text"/>
    <w:basedOn w:val="1268"/>
    <w:link w:val="1252"/>
    <w:uiPriority w:val="99"/>
    <w:semiHidden/>
    <w:unhideWhenUsed/>
    <w:pPr>
      <w:spacing w:after="40" w:line="240" w:lineRule="auto"/>
    </w:pPr>
    <w:rPr>
      <w:sz w:val="18"/>
    </w:rPr>
  </w:style>
  <w:style w:type="character" w:styleId="1252">
    <w:name w:val="Footnote Text Char"/>
    <w:link w:val="1251"/>
    <w:uiPriority w:val="99"/>
    <w:rPr>
      <w:sz w:val="18"/>
    </w:rPr>
  </w:style>
  <w:style w:type="character" w:styleId="1253">
    <w:name w:val="footnote reference"/>
    <w:uiPriority w:val="99"/>
    <w:unhideWhenUsed/>
    <w:rPr>
      <w:vertAlign w:val="superscript"/>
    </w:rPr>
  </w:style>
  <w:style w:type="paragraph" w:styleId="1254">
    <w:name w:val="endnote text"/>
    <w:basedOn w:val="1268"/>
    <w:link w:val="1255"/>
    <w:uiPriority w:val="99"/>
    <w:semiHidden/>
    <w:unhideWhenUsed/>
    <w:pPr>
      <w:spacing w:after="0" w:line="240" w:lineRule="auto"/>
    </w:pPr>
    <w:rPr>
      <w:sz w:val="20"/>
    </w:rPr>
  </w:style>
  <w:style w:type="character" w:styleId="1255">
    <w:name w:val="Endnote Text Char"/>
    <w:link w:val="1254"/>
    <w:uiPriority w:val="99"/>
    <w:rPr>
      <w:sz w:val="20"/>
    </w:rPr>
  </w:style>
  <w:style w:type="character" w:styleId="1256">
    <w:name w:val="endnote reference"/>
    <w:uiPriority w:val="99"/>
    <w:semiHidden/>
    <w:unhideWhenUsed/>
    <w:rPr>
      <w:vertAlign w:val="superscript"/>
    </w:rPr>
  </w:style>
  <w:style w:type="paragraph" w:styleId="1257">
    <w:name w:val="toc 1"/>
    <w:basedOn w:val="1268"/>
    <w:next w:val="1268"/>
    <w:uiPriority w:val="39"/>
    <w:unhideWhenUsed/>
    <w:pPr>
      <w:ind w:left="0" w:right="0" w:firstLine="0"/>
      <w:spacing w:after="57"/>
    </w:pPr>
  </w:style>
  <w:style w:type="paragraph" w:styleId="1258">
    <w:name w:val="toc 2"/>
    <w:basedOn w:val="1268"/>
    <w:next w:val="1268"/>
    <w:uiPriority w:val="39"/>
    <w:unhideWhenUsed/>
    <w:pPr>
      <w:ind w:left="283" w:right="0" w:firstLine="0"/>
      <w:spacing w:after="57"/>
    </w:pPr>
  </w:style>
  <w:style w:type="paragraph" w:styleId="1259">
    <w:name w:val="toc 3"/>
    <w:basedOn w:val="1268"/>
    <w:next w:val="1268"/>
    <w:uiPriority w:val="39"/>
    <w:unhideWhenUsed/>
    <w:pPr>
      <w:ind w:left="567" w:right="0" w:firstLine="0"/>
      <w:spacing w:after="57"/>
    </w:pPr>
  </w:style>
  <w:style w:type="paragraph" w:styleId="1260">
    <w:name w:val="toc 4"/>
    <w:basedOn w:val="1268"/>
    <w:next w:val="1268"/>
    <w:uiPriority w:val="39"/>
    <w:unhideWhenUsed/>
    <w:pPr>
      <w:ind w:left="850" w:right="0" w:firstLine="0"/>
      <w:spacing w:after="57"/>
    </w:pPr>
  </w:style>
  <w:style w:type="paragraph" w:styleId="1261">
    <w:name w:val="toc 5"/>
    <w:basedOn w:val="1268"/>
    <w:next w:val="1268"/>
    <w:uiPriority w:val="39"/>
    <w:unhideWhenUsed/>
    <w:pPr>
      <w:ind w:left="1134" w:right="0" w:firstLine="0"/>
      <w:spacing w:after="57"/>
    </w:pPr>
  </w:style>
  <w:style w:type="paragraph" w:styleId="1262">
    <w:name w:val="toc 6"/>
    <w:basedOn w:val="1268"/>
    <w:next w:val="1268"/>
    <w:uiPriority w:val="39"/>
    <w:unhideWhenUsed/>
    <w:pPr>
      <w:ind w:left="1417" w:right="0" w:firstLine="0"/>
      <w:spacing w:after="57"/>
    </w:pPr>
  </w:style>
  <w:style w:type="paragraph" w:styleId="1263">
    <w:name w:val="toc 7"/>
    <w:basedOn w:val="1268"/>
    <w:next w:val="1268"/>
    <w:uiPriority w:val="39"/>
    <w:unhideWhenUsed/>
    <w:pPr>
      <w:ind w:left="1701" w:right="0" w:firstLine="0"/>
      <w:spacing w:after="57"/>
    </w:pPr>
  </w:style>
  <w:style w:type="paragraph" w:styleId="1264">
    <w:name w:val="toc 8"/>
    <w:basedOn w:val="1268"/>
    <w:next w:val="1268"/>
    <w:uiPriority w:val="39"/>
    <w:unhideWhenUsed/>
    <w:pPr>
      <w:ind w:left="1984" w:right="0" w:firstLine="0"/>
      <w:spacing w:after="57"/>
    </w:pPr>
  </w:style>
  <w:style w:type="paragraph" w:styleId="1265">
    <w:name w:val="toc 9"/>
    <w:basedOn w:val="1268"/>
    <w:next w:val="1268"/>
    <w:uiPriority w:val="39"/>
    <w:unhideWhenUsed/>
    <w:pPr>
      <w:ind w:left="2268" w:right="0" w:firstLine="0"/>
      <w:spacing w:after="57"/>
    </w:pPr>
  </w:style>
  <w:style w:type="paragraph" w:styleId="1266">
    <w:name w:val="TOC Heading"/>
    <w:uiPriority w:val="39"/>
    <w:unhideWhenUsed/>
  </w:style>
  <w:style w:type="paragraph" w:styleId="1267">
    <w:name w:val="table of figures"/>
    <w:basedOn w:val="1268"/>
    <w:next w:val="1268"/>
    <w:uiPriority w:val="99"/>
    <w:unhideWhenUsed/>
    <w:pPr>
      <w:spacing w:after="0" w:afterAutospacing="0"/>
    </w:pPr>
  </w:style>
  <w:style w:type="paragraph" w:styleId="1268" w:default="1">
    <w:name w:val="Normal"/>
    <w:qFormat/>
  </w:style>
  <w:style w:type="table" w:styleId="12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70" w:default="1">
    <w:name w:val="No List"/>
    <w:uiPriority w:val="99"/>
    <w:semiHidden/>
    <w:unhideWhenUsed/>
  </w:style>
  <w:style w:type="paragraph" w:styleId="1271">
    <w:name w:val="No Spacing"/>
    <w:basedOn w:val="1268"/>
    <w:uiPriority w:val="1"/>
    <w:qFormat/>
    <w:pPr>
      <w:spacing w:after="0" w:line="240" w:lineRule="auto"/>
    </w:pPr>
  </w:style>
  <w:style w:type="paragraph" w:styleId="1272">
    <w:name w:val="List Paragraph"/>
    <w:basedOn w:val="1268"/>
    <w:uiPriority w:val="34"/>
    <w:qFormat/>
    <w:pPr>
      <w:contextualSpacing/>
      <w:ind w:left="720"/>
    </w:pPr>
  </w:style>
  <w:style w:type="character" w:styleId="12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Казакова Татьяна</cp:lastModifiedBy>
  <cp:revision>40</cp:revision>
  <dcterms:modified xsi:type="dcterms:W3CDTF">2025-07-28T04:27:23Z</dcterms:modified>
</cp:coreProperties>
</file>